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3CB12" w14:textId="77777777" w:rsidR="00463611" w:rsidRDefault="005F08C0">
      <w:pPr>
        <w:spacing w:after="151"/>
        <w:ind w:left="0" w:right="9" w:firstLine="0"/>
        <w:jc w:val="center"/>
      </w:pPr>
      <w:bookmarkStart w:id="0" w:name="_GoBack"/>
      <w:bookmarkEnd w:id="0"/>
      <w:r>
        <w:rPr>
          <w:b/>
        </w:rPr>
        <w:t xml:space="preserve">BEHAVIORAL HEALTH SERVICES FOR STUDENTS </w:t>
      </w:r>
    </w:p>
    <w:p w14:paraId="2EC22C36" w14:textId="77777777" w:rsidR="00463611" w:rsidRDefault="005F08C0">
      <w:pPr>
        <w:ind w:left="-4" w:right="11"/>
      </w:pPr>
      <w:r>
        <w:t>The Legacy of Excellence Board of Directors (LoE) recognizes the need for mental health services for children and youth including social, emotional, and behavioral health. LoE</w:t>
      </w:r>
      <w:r>
        <w:t xml:space="preserve"> will allow certified and insured behavioral health providers to provide services to students enrolled in Benjamin Franklin Elementary Mathematics and Science School during the school day if the parent or legal guardian provides a written request for such </w:t>
      </w:r>
      <w:r>
        <w:t xml:space="preserve">services to the Chief Executive Officer (CEO) or CEO’s designee.  A behavioral health provider shall: </w:t>
      </w:r>
    </w:p>
    <w:p w14:paraId="6A26CFB5" w14:textId="77777777" w:rsidR="00463611" w:rsidRDefault="005F08C0">
      <w:pPr>
        <w:numPr>
          <w:ilvl w:val="0"/>
          <w:numId w:val="1"/>
        </w:numPr>
        <w:spacing w:after="0" w:line="258" w:lineRule="auto"/>
        <w:ind w:left="721" w:right="20" w:hanging="360"/>
        <w:jc w:val="left"/>
      </w:pPr>
      <w:r>
        <w:t xml:space="preserve">Maintain general liability coverage in an amount not less than $1,000,000.00 per occurrence and $1,000,000.00 per aggregate and provide a certificate of </w:t>
      </w:r>
      <w:r>
        <w:t>insurance naming the public school as the certificate holder.</w:t>
      </w:r>
    </w:p>
    <w:p w14:paraId="6DFB4684" w14:textId="77777777" w:rsidR="00463611" w:rsidRDefault="005F08C0">
      <w:pPr>
        <w:numPr>
          <w:ilvl w:val="0"/>
          <w:numId w:val="1"/>
        </w:numPr>
        <w:spacing w:after="588"/>
        <w:ind w:left="721" w:right="20" w:hanging="360"/>
        <w:jc w:val="left"/>
      </w:pPr>
      <w:r>
        <w:t>Complete a criminal background check conducted by the Louisiana State Police and shall pay all related costs.</w:t>
      </w:r>
    </w:p>
    <w:p w14:paraId="5BCD2824" w14:textId="77777777" w:rsidR="00463611" w:rsidRDefault="005F08C0">
      <w:pPr>
        <w:ind w:left="-4" w:right="11"/>
      </w:pPr>
      <w:r>
        <w:t>Behavioral health services shall be permitted during school hours if all requirement</w:t>
      </w:r>
      <w:r>
        <w:t xml:space="preserve">s of LA. Rev. Stat. §§ Ann.17:173 and 17:3996(B) (45) and any BFE’s procedures are met: </w:t>
      </w:r>
    </w:p>
    <w:p w14:paraId="6889E663" w14:textId="77777777" w:rsidR="00463611" w:rsidRDefault="005F08C0">
      <w:pPr>
        <w:ind w:left="-4" w:right="11"/>
      </w:pPr>
      <w:r>
        <w:t>The parent or legal guardian presents a behavioral health evaluation performed by an evaluator chosen by the parent or legal guardian and the evaluation indicates that</w:t>
      </w:r>
      <w:r>
        <w:t xml:space="preserve"> the services are necessary during school hours to assist the student with behavioral health impairments that the evaluator determines are interfering with the student’s ability to thrive in the educational setting.  The evaluation shall not be construed a</w:t>
      </w:r>
      <w:r>
        <w:t xml:space="preserve">s an independent educational evaluation for the purpose of determining eligibility for special education and related services. </w:t>
      </w:r>
    </w:p>
    <w:p w14:paraId="0D5840BB" w14:textId="77777777" w:rsidR="00463611" w:rsidRDefault="005F08C0">
      <w:pPr>
        <w:ind w:left="-4" w:right="11"/>
      </w:pPr>
      <w:r>
        <w:t>In addition, the parent or legal guardian of a student receiving services from a behavioral service provider shall be required t</w:t>
      </w:r>
      <w:r>
        <w:t xml:space="preserve">o execute a consent to release information form between the provider and the school. </w:t>
      </w:r>
    </w:p>
    <w:p w14:paraId="0DB7F478" w14:textId="77777777" w:rsidR="00463611" w:rsidRDefault="005F08C0">
      <w:pPr>
        <w:ind w:left="-4" w:right="11"/>
      </w:pPr>
      <w:r>
        <w:lastRenderedPageBreak/>
        <w:t>Behavioral health service may be provided during instructional time in English, reading, mathematics, and science if the behavioral health provider and the CEO or designe</w:t>
      </w:r>
      <w:r>
        <w:t xml:space="preserve">e mutually agree that it is in the best interest of the student. </w:t>
      </w:r>
    </w:p>
    <w:p w14:paraId="652A4B5A" w14:textId="77777777" w:rsidR="00463611" w:rsidRDefault="005F08C0">
      <w:pPr>
        <w:ind w:left="-4" w:right="11"/>
      </w:pPr>
      <w:r>
        <w:t>The school shall not enter into a contract or an exclusive agreement with a behavioral health provider that prohibits the parent or legal guardian from choosing the behavioral health provide</w:t>
      </w:r>
      <w:r>
        <w:t xml:space="preserve">r for the student.    </w:t>
      </w:r>
    </w:p>
    <w:p w14:paraId="22999889" w14:textId="6382DC3B" w:rsidR="00463611" w:rsidRDefault="005F08C0">
      <w:pPr>
        <w:ind w:left="-4" w:right="11"/>
      </w:pPr>
      <w:r>
        <w:t xml:space="preserve">The cost of all behavioral health services provided to a student shall be the sole responsibility of the parent or legal guardian, individually or through an applicable health insurance policy, Medicaid, or other </w:t>
      </w:r>
      <w:r w:rsidR="00B22409">
        <w:t>third party</w:t>
      </w:r>
      <w:r>
        <w:t xml:space="preserve"> payor, o</w:t>
      </w:r>
      <w:r>
        <w:t xml:space="preserve">ther than Benjamin Franklin Elementary, that has made funds available for the payment for the services provided. </w:t>
      </w:r>
    </w:p>
    <w:p w14:paraId="797D7544" w14:textId="77777777" w:rsidR="00463611" w:rsidRDefault="005F08C0">
      <w:pPr>
        <w:spacing w:after="1"/>
        <w:ind w:left="-4" w:right="11"/>
      </w:pPr>
      <w:r>
        <w:t xml:space="preserve">While on a school campus, a behavioral service provider shall comply with, and abide by, the terms of any </w:t>
      </w:r>
    </w:p>
    <w:p w14:paraId="5D08A611" w14:textId="77777777" w:rsidR="00463611" w:rsidRDefault="005F08C0">
      <w:pPr>
        <w:spacing w:after="1"/>
        <w:ind w:left="-4" w:right="11"/>
      </w:pPr>
      <w:r>
        <w:t>Individualized Education Plan, Indi</w:t>
      </w:r>
      <w:r>
        <w:t xml:space="preserve">vidualized Accommodation Plan, Section 504 Plan, Behavior </w:t>
      </w:r>
    </w:p>
    <w:p w14:paraId="2FD7B776" w14:textId="77777777" w:rsidR="00463611" w:rsidRDefault="005F08C0">
      <w:pPr>
        <w:ind w:left="-4" w:right="11"/>
      </w:pPr>
      <w:r>
        <w:t>Management Plan, or Individualized Health Plan applicable to a student who is a patient of the provider.  The services furnished by a provider shall be incorporated into a written treatment plan ap</w:t>
      </w:r>
      <w:r>
        <w:t xml:space="preserve">plicable to a student. </w:t>
      </w:r>
    </w:p>
    <w:p w14:paraId="01A6092E" w14:textId="77777777" w:rsidR="00463611" w:rsidRDefault="005F08C0">
      <w:pPr>
        <w:spacing w:after="1206"/>
        <w:ind w:left="-4" w:right="11"/>
      </w:pPr>
      <w:r>
        <w:t xml:space="preserve">The LoE Board of Directors shall establish reporting requirements for a behavioral health provider related to the student’s progress and student safety concerns as related to the student’s educational program. </w:t>
      </w:r>
    </w:p>
    <w:p w14:paraId="59BADEFC" w14:textId="77777777" w:rsidR="00463611" w:rsidRDefault="005F08C0">
      <w:pPr>
        <w:spacing w:after="0"/>
        <w:ind w:left="0" w:right="6" w:firstLine="0"/>
        <w:jc w:val="right"/>
      </w:pPr>
      <w:r>
        <w:rPr>
          <w:rFonts w:ascii="Arial" w:eastAsia="Arial" w:hAnsi="Arial" w:cs="Arial"/>
          <w:sz w:val="16"/>
        </w:rPr>
        <w:t>7/23</w:t>
      </w:r>
    </w:p>
    <w:p w14:paraId="0D242FB3" w14:textId="77777777" w:rsidR="00B22409" w:rsidRDefault="00B22409">
      <w:pPr>
        <w:spacing w:after="606" w:line="256" w:lineRule="auto"/>
        <w:ind w:left="0" w:firstLine="0"/>
        <w:jc w:val="left"/>
      </w:pPr>
    </w:p>
    <w:p w14:paraId="43A98DD5" w14:textId="77777777" w:rsidR="00B22409" w:rsidRDefault="005F08C0" w:rsidP="003149C6">
      <w:pPr>
        <w:spacing w:after="0" w:line="240" w:lineRule="auto"/>
        <w:ind w:left="0" w:firstLine="0"/>
        <w:jc w:val="left"/>
      </w:pPr>
      <w:r>
        <w:t xml:space="preserve">The CEO/designee shall approve administrative procedures to provide for student safety and effective implementation of this policy. </w:t>
      </w:r>
    </w:p>
    <w:p w14:paraId="1D30029D" w14:textId="77777777" w:rsidR="003149C6" w:rsidRDefault="003149C6" w:rsidP="003149C6">
      <w:pPr>
        <w:spacing w:after="0" w:line="240" w:lineRule="auto"/>
        <w:ind w:left="0" w:firstLine="0"/>
        <w:jc w:val="left"/>
      </w:pPr>
    </w:p>
    <w:p w14:paraId="0C42A068" w14:textId="6F845B25" w:rsidR="00463611" w:rsidRDefault="005F08C0" w:rsidP="003149C6">
      <w:pPr>
        <w:spacing w:after="0" w:line="240" w:lineRule="auto"/>
        <w:ind w:left="0" w:firstLine="0"/>
        <w:jc w:val="left"/>
      </w:pPr>
      <w:r>
        <w:lastRenderedPageBreak/>
        <w:t>Failure of the behavioral health provider to comply with the provision of this policy and associated procedures and/or oth</w:t>
      </w:r>
      <w:r>
        <w:t xml:space="preserve">er LoE Board policies, Orleans Parish School Board policies, and all applicable local, state and federal laws will result in immediate sanctions including termination of a provider’s authorization to provide services on any BFE school campus. </w:t>
      </w:r>
    </w:p>
    <w:p w14:paraId="329DF0ED" w14:textId="77777777" w:rsidR="003149C6" w:rsidRDefault="003149C6">
      <w:pPr>
        <w:spacing w:after="147"/>
        <w:ind w:left="0" w:firstLine="0"/>
        <w:jc w:val="left"/>
        <w:rPr>
          <w:b/>
        </w:rPr>
      </w:pPr>
    </w:p>
    <w:p w14:paraId="73105EC4" w14:textId="55E0F82E" w:rsidR="00463611" w:rsidRDefault="005F08C0">
      <w:pPr>
        <w:spacing w:after="147"/>
        <w:ind w:left="0" w:firstLine="0"/>
        <w:jc w:val="left"/>
      </w:pPr>
      <w:r>
        <w:rPr>
          <w:b/>
        </w:rPr>
        <w:t>Definitions</w:t>
      </w:r>
      <w:r>
        <w:rPr>
          <w:b/>
        </w:rPr>
        <w:t xml:space="preserve"> </w:t>
      </w:r>
    </w:p>
    <w:p w14:paraId="56106CC1" w14:textId="77777777" w:rsidR="00463611" w:rsidRDefault="005F08C0">
      <w:pPr>
        <w:spacing w:after="153" w:line="254" w:lineRule="auto"/>
        <w:ind w:left="-5"/>
        <w:jc w:val="left"/>
      </w:pPr>
      <w:r>
        <w:rPr>
          <w:b/>
          <w:i/>
        </w:rPr>
        <w:t>Applied behavior analysis provider s</w:t>
      </w:r>
      <w:r>
        <w:t>hall mean a provider who is licensed, certified, or registered by the Louisiana Behavior Analyst Board and is in good standing to provide applied behavior analysis services.</w:t>
      </w:r>
    </w:p>
    <w:p w14:paraId="4F290327" w14:textId="77777777" w:rsidR="00463611" w:rsidRDefault="005F08C0">
      <w:pPr>
        <w:spacing w:after="152" w:line="254" w:lineRule="auto"/>
        <w:ind w:left="-5"/>
        <w:jc w:val="left"/>
      </w:pPr>
      <w:r>
        <w:rPr>
          <w:b/>
          <w:i/>
        </w:rPr>
        <w:t>Applied behavior analysis services</w:t>
      </w:r>
      <w:r>
        <w:t xml:space="preserve"> shall inc</w:t>
      </w:r>
      <w:r>
        <w:t>lude the design, implementation, and evaluation of systematic instructional and environmental modifications by an applied behavior analysis provider to produce socially significant improvements in behavior as described in the Behavior Analyst Practice Act.</w:t>
      </w:r>
      <w:r>
        <w:t xml:space="preserve"> </w:t>
      </w:r>
    </w:p>
    <w:p w14:paraId="736ABD3E" w14:textId="77777777" w:rsidR="00463611" w:rsidRDefault="005F08C0">
      <w:pPr>
        <w:ind w:left="-4" w:right="11"/>
      </w:pPr>
      <w:r>
        <w:rPr>
          <w:b/>
          <w:i/>
        </w:rPr>
        <w:t>Behavioral health provider</w:t>
      </w:r>
      <w:r>
        <w:rPr>
          <w:i/>
        </w:rPr>
        <w:t xml:space="preserve"> </w:t>
      </w:r>
      <w:r>
        <w:t>shall mean a provider who is licensed by the Louisiana Department of Health or a health profession licensing board and is in good standing to provide behavioral health services in Louisiana including but not limited to a psychi</w:t>
      </w:r>
      <w:r>
        <w:t>atrist, psychologist, medical psychologist, licensed specialist in school psychology, marriage and family therapist, professional counselor, clinical social worker, or a behavioral health provider organization licensed to provide behavioral health services</w:t>
      </w:r>
      <w:r>
        <w:t xml:space="preserve"> in Louisiana.  </w:t>
      </w:r>
    </w:p>
    <w:p w14:paraId="60EAD7B3" w14:textId="77777777" w:rsidR="00463611" w:rsidRDefault="005F08C0">
      <w:pPr>
        <w:ind w:left="-4" w:right="11"/>
      </w:pPr>
      <w:r>
        <w:rPr>
          <w:b/>
          <w:i/>
        </w:rPr>
        <w:t>Behavioral health services</w:t>
      </w:r>
      <w:r>
        <w:rPr>
          <w:i/>
        </w:rPr>
        <w:t xml:space="preserve"> </w:t>
      </w:r>
      <w:r>
        <w:t>shall include but not be limited to individual psychotherapy, family psychotherapy, psychotropic medication management, community psychiatric support and treatment, and crisis intervention and medically necessary</w:t>
      </w:r>
      <w:r>
        <w:t xml:space="preserve"> applied behavior analysis services.</w:t>
      </w:r>
    </w:p>
    <w:p w14:paraId="2C61E8B0" w14:textId="77777777" w:rsidR="00463611" w:rsidRDefault="005F08C0">
      <w:pPr>
        <w:spacing w:after="407"/>
        <w:ind w:left="-4" w:right="11"/>
      </w:pPr>
      <w:r>
        <w:rPr>
          <w:b/>
          <w:i/>
        </w:rPr>
        <w:t>Evaluator</w:t>
      </w:r>
      <w:r>
        <w:rPr>
          <w:i/>
        </w:rPr>
        <w:t xml:space="preserve"> </w:t>
      </w:r>
      <w:r>
        <w:t>shall mean a licensed psychiatrist, psychologist, medical psychologist, licensed specialist in school psychology, professional counselor, marriage and family therapist, or clinical social worker or applied beh</w:t>
      </w:r>
      <w:r>
        <w:t>avioral analysis provider who is certified by the respective board of examiners in Louisiana to provide necessary evaluations and who is not an employee of Benjamin Franklin Elementary, the Orleans Parish School Board or the Louisiana Department of Educati</w:t>
      </w:r>
      <w:r>
        <w:t xml:space="preserve">on.  </w:t>
      </w:r>
    </w:p>
    <w:p w14:paraId="432868AD" w14:textId="77777777" w:rsidR="00463611" w:rsidRDefault="005F08C0">
      <w:pPr>
        <w:spacing w:after="215"/>
        <w:ind w:left="-4" w:right="11"/>
      </w:pPr>
      <w:r>
        <w:rPr>
          <w:b/>
          <w:i/>
        </w:rPr>
        <w:lastRenderedPageBreak/>
        <w:t>Behavioral health evaluation</w:t>
      </w:r>
      <w:r>
        <w:rPr>
          <w:i/>
        </w:rPr>
        <w:t xml:space="preserve"> </w:t>
      </w:r>
      <w:r>
        <w:t>shall include but not be limited to the following criteria:</w:t>
      </w:r>
    </w:p>
    <w:p w14:paraId="00448C4B" w14:textId="77777777" w:rsidR="00463611" w:rsidRDefault="005F08C0">
      <w:pPr>
        <w:numPr>
          <w:ilvl w:val="0"/>
          <w:numId w:val="2"/>
        </w:numPr>
        <w:spacing w:after="1"/>
        <w:ind w:right="11" w:firstLine="347"/>
      </w:pPr>
      <w:r>
        <w:t>Diagnosis</w:t>
      </w:r>
    </w:p>
    <w:p w14:paraId="60C6CBBF" w14:textId="77777777" w:rsidR="00463611" w:rsidRDefault="005F08C0">
      <w:pPr>
        <w:numPr>
          <w:ilvl w:val="0"/>
          <w:numId w:val="2"/>
        </w:numPr>
        <w:spacing w:after="1"/>
        <w:ind w:right="11" w:firstLine="347"/>
      </w:pPr>
      <w:r>
        <w:t>Type of intervention</w:t>
      </w:r>
    </w:p>
    <w:p w14:paraId="45834890" w14:textId="77777777" w:rsidR="00463611" w:rsidRDefault="005F08C0">
      <w:pPr>
        <w:numPr>
          <w:ilvl w:val="0"/>
          <w:numId w:val="2"/>
        </w:numPr>
        <w:spacing w:after="1"/>
        <w:ind w:right="11" w:firstLine="347"/>
      </w:pPr>
      <w:r>
        <w:t>Length of intervention</w:t>
      </w:r>
    </w:p>
    <w:p w14:paraId="58838CEF" w14:textId="77777777" w:rsidR="00463611" w:rsidRDefault="005F08C0">
      <w:pPr>
        <w:numPr>
          <w:ilvl w:val="0"/>
          <w:numId w:val="2"/>
        </w:numPr>
        <w:spacing w:after="1"/>
        <w:ind w:right="11" w:firstLine="347"/>
      </w:pPr>
      <w:r>
        <w:t>Identification of a student's goals</w:t>
      </w:r>
    </w:p>
    <w:p w14:paraId="49C297BF" w14:textId="77777777" w:rsidR="00463611" w:rsidRDefault="005F08C0">
      <w:pPr>
        <w:numPr>
          <w:ilvl w:val="0"/>
          <w:numId w:val="2"/>
        </w:numPr>
        <w:spacing w:after="2"/>
        <w:ind w:right="11" w:firstLine="347"/>
      </w:pPr>
      <w:r>
        <w:t>Identification of impact of student behavior on a student's educational</w:t>
      </w:r>
      <w:r>
        <w:t xml:space="preserve"> program</w:t>
      </w:r>
    </w:p>
    <w:p w14:paraId="49445BF1" w14:textId="5AB2F3BA" w:rsidR="00463611" w:rsidRDefault="005F08C0">
      <w:pPr>
        <w:numPr>
          <w:ilvl w:val="0"/>
          <w:numId w:val="2"/>
        </w:numPr>
        <w:spacing w:after="1" w:line="337" w:lineRule="auto"/>
        <w:ind w:right="11" w:firstLine="347"/>
      </w:pPr>
      <w:r>
        <w:t>Recommendations for applied behavior analysis</w:t>
      </w:r>
      <w:r w:rsidR="00B22409">
        <w:t>.</w:t>
      </w:r>
      <w:r>
        <w:t xml:space="preserve"> No provisions of this policy shall be construed to supersede any of the following:</w:t>
      </w:r>
    </w:p>
    <w:p w14:paraId="5E88196C" w14:textId="77777777" w:rsidR="00463611" w:rsidRDefault="005F08C0">
      <w:pPr>
        <w:numPr>
          <w:ilvl w:val="0"/>
          <w:numId w:val="3"/>
        </w:numPr>
        <w:spacing w:after="5"/>
        <w:ind w:left="559" w:hanging="294"/>
        <w:jc w:val="left"/>
      </w:pPr>
      <w:r>
        <w:t xml:space="preserve">The authority of a student's Individualized Education Program Team or Section 504 Committee to determine appropriate </w:t>
      </w:r>
      <w:r>
        <w:t>services for a student pursuant to applicable federal and state law.</w:t>
      </w:r>
    </w:p>
    <w:p w14:paraId="26441B27" w14:textId="04B066E8" w:rsidR="00463611" w:rsidRDefault="005F08C0">
      <w:pPr>
        <w:numPr>
          <w:ilvl w:val="0"/>
          <w:numId w:val="3"/>
        </w:numPr>
        <w:spacing w:after="1" w:line="254" w:lineRule="auto"/>
        <w:ind w:left="559" w:hanging="294"/>
        <w:jc w:val="left"/>
      </w:pPr>
      <w:r>
        <w:t>The provisions of the Behavioral Health Services Provider Licensing Law or any regulations</w:t>
      </w:r>
      <w:r w:rsidR="0097665C">
        <w:t xml:space="preserve"> </w:t>
      </w:r>
      <w:r>
        <w:t>promulgated by the Louisiana Department of Health pursuant to that law.</w:t>
      </w:r>
    </w:p>
    <w:p w14:paraId="1DD2759F" w14:textId="77777777" w:rsidR="00463611" w:rsidRDefault="005F08C0">
      <w:pPr>
        <w:numPr>
          <w:ilvl w:val="0"/>
          <w:numId w:val="3"/>
        </w:numPr>
        <w:spacing w:after="83" w:line="254" w:lineRule="auto"/>
        <w:ind w:left="559" w:hanging="294"/>
        <w:jc w:val="left"/>
      </w:pPr>
      <w:r>
        <w:t>The provisions of the Be</w:t>
      </w:r>
      <w:r>
        <w:t>havior Analysis Practice Act.</w:t>
      </w:r>
    </w:p>
    <w:p w14:paraId="2DF70F0F" w14:textId="77777777" w:rsidR="00463611" w:rsidRDefault="005F08C0">
      <w:pPr>
        <w:spacing w:after="0" w:line="219" w:lineRule="auto"/>
        <w:ind w:left="65" w:right="6" w:firstLine="802"/>
        <w:jc w:val="right"/>
      </w:pPr>
      <w:r>
        <w:rPr>
          <w:rFonts w:ascii="Arial" w:eastAsia="Arial" w:hAnsi="Arial" w:cs="Arial"/>
          <w:sz w:val="16"/>
        </w:rPr>
        <w:t xml:space="preserve">7/23 </w:t>
      </w:r>
      <w:r>
        <w:t xml:space="preserve">Ref.: 20 USC 1232(g-i) (Family Educational Rights and Privacy Act); La. Rev. Stat. Ann. 17:7, 17:173; board minutes, ____________. </w:t>
      </w:r>
    </w:p>
    <w:sectPr w:rsidR="00463611">
      <w:pgSz w:w="12240" w:h="15840"/>
      <w:pgMar w:top="1447" w:right="1434" w:bottom="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370EF"/>
    <w:multiLevelType w:val="hybridMultilevel"/>
    <w:tmpl w:val="7B8636F6"/>
    <w:lvl w:ilvl="0" w:tplc="FC7269C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20307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267CE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D6EFD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3E13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64D1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5F2697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DA2B2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3297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852758"/>
    <w:multiLevelType w:val="hybridMultilevel"/>
    <w:tmpl w:val="3E04800A"/>
    <w:lvl w:ilvl="0" w:tplc="8EF84DE0">
      <w:start w:val="1"/>
      <w:numFmt w:val="decimal"/>
      <w:lvlText w:val="%1."/>
      <w:lvlJc w:val="left"/>
      <w:pPr>
        <w:ind w:left="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C2C22C">
      <w:start w:val="1"/>
      <w:numFmt w:val="lowerLetter"/>
      <w:lvlText w:val="%2"/>
      <w:lvlJc w:val="left"/>
      <w:pPr>
        <w:ind w:left="1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307EFA">
      <w:start w:val="1"/>
      <w:numFmt w:val="lowerRoman"/>
      <w:lvlText w:val="%3"/>
      <w:lvlJc w:val="left"/>
      <w:pPr>
        <w:ind w:left="2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FA4330">
      <w:start w:val="1"/>
      <w:numFmt w:val="decimal"/>
      <w:lvlText w:val="%4"/>
      <w:lvlJc w:val="left"/>
      <w:pPr>
        <w:ind w:left="2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323BBC">
      <w:start w:val="1"/>
      <w:numFmt w:val="lowerLetter"/>
      <w:lvlText w:val="%5"/>
      <w:lvlJc w:val="left"/>
      <w:pPr>
        <w:ind w:left="3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10D7D6">
      <w:start w:val="1"/>
      <w:numFmt w:val="lowerRoman"/>
      <w:lvlText w:val="%6"/>
      <w:lvlJc w:val="left"/>
      <w:pPr>
        <w:ind w:left="4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F84B34">
      <w:start w:val="1"/>
      <w:numFmt w:val="decimal"/>
      <w:lvlText w:val="%7"/>
      <w:lvlJc w:val="left"/>
      <w:pPr>
        <w:ind w:left="4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0ECAB2">
      <w:start w:val="1"/>
      <w:numFmt w:val="lowerLetter"/>
      <w:lvlText w:val="%8"/>
      <w:lvlJc w:val="left"/>
      <w:pPr>
        <w:ind w:left="5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FA9CAA">
      <w:start w:val="1"/>
      <w:numFmt w:val="lowerRoman"/>
      <w:lvlText w:val="%9"/>
      <w:lvlJc w:val="left"/>
      <w:pPr>
        <w:ind w:left="6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3FE30F8"/>
    <w:multiLevelType w:val="hybridMultilevel"/>
    <w:tmpl w:val="C04A5AFE"/>
    <w:lvl w:ilvl="0" w:tplc="4CE0C530">
      <w:start w:val="1"/>
      <w:numFmt w:val="bullet"/>
      <w:lvlText w:val="•"/>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DEE89C">
      <w:start w:val="1"/>
      <w:numFmt w:val="bullet"/>
      <w:lvlText w:val="o"/>
      <w:lvlJc w:val="left"/>
      <w:pPr>
        <w:ind w:left="1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98C894">
      <w:start w:val="1"/>
      <w:numFmt w:val="bullet"/>
      <w:lvlText w:val="▪"/>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342F16">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16E052">
      <w:start w:val="1"/>
      <w:numFmt w:val="bullet"/>
      <w:lvlText w:val="o"/>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7C9AD4">
      <w:start w:val="1"/>
      <w:numFmt w:val="bullet"/>
      <w:lvlText w:val="▪"/>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30D1F6">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C2C988">
      <w:start w:val="1"/>
      <w:numFmt w:val="bullet"/>
      <w:lvlText w:val="o"/>
      <w:lvlJc w:val="left"/>
      <w:pPr>
        <w:ind w:left="5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3EE228">
      <w:start w:val="1"/>
      <w:numFmt w:val="bullet"/>
      <w:lvlText w:val="▪"/>
      <w:lvlJc w:val="left"/>
      <w:pPr>
        <w:ind w:left="6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11"/>
    <w:rsid w:val="003149C6"/>
    <w:rsid w:val="00463611"/>
    <w:rsid w:val="004A2C30"/>
    <w:rsid w:val="005F08C0"/>
    <w:rsid w:val="0097665C"/>
    <w:rsid w:val="00B22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8F3F"/>
  <w15:docId w15:val="{CF8EA0DB-52CA-43B7-A1A7-D5CF00BD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4" w:line="259" w:lineRule="auto"/>
      <w:ind w:left="11" w:hanging="10"/>
      <w:jc w:val="both"/>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Hudson</dc:creator>
  <cp:keywords/>
  <cp:lastModifiedBy>Robert Robinson</cp:lastModifiedBy>
  <cp:revision>2</cp:revision>
  <dcterms:created xsi:type="dcterms:W3CDTF">2024-07-22T14:10:00Z</dcterms:created>
  <dcterms:modified xsi:type="dcterms:W3CDTF">2024-07-22T14:10:00Z</dcterms:modified>
</cp:coreProperties>
</file>